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191"/>
      </w:tblGrid>
      <w:tr w:rsidR="00870EA4" w:rsidRPr="0085685A" w:rsidTr="00501A3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EA4" w:rsidRPr="0092687B" w:rsidRDefault="00870EA4" w:rsidP="00BF6179">
            <w:pPr>
              <w:spacing w:after="0" w:line="24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92687B">
              <w:rPr>
                <w:rFonts w:ascii="TimBashk" w:hAnsi="TimBashk"/>
                <w:sz w:val="24"/>
                <w:szCs w:val="24"/>
              </w:rPr>
              <w:t>БАШКОРТОСТАН РЕСПУБЛИКА</w:t>
            </w:r>
            <w:r w:rsidRPr="0092687B">
              <w:rPr>
                <w:rFonts w:ascii="Arial" w:hAnsi="Arial" w:cs="Arial"/>
                <w:sz w:val="24"/>
                <w:szCs w:val="24"/>
              </w:rPr>
              <w:t>Һ</w:t>
            </w:r>
            <w:r w:rsidRPr="0092687B">
              <w:rPr>
                <w:sz w:val="24"/>
                <w:szCs w:val="24"/>
              </w:rPr>
              <w:t>Ы</w:t>
            </w:r>
            <w:r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92687B">
              <w:rPr>
                <w:rFonts w:ascii="TimBashk" w:hAnsi="TimBashk"/>
                <w:sz w:val="24"/>
                <w:szCs w:val="24"/>
              </w:rPr>
              <w:t>БАЙМА</w:t>
            </w:r>
            <w:r w:rsidRPr="0092687B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Ҡ</w:t>
            </w:r>
            <w:r w:rsidRPr="0092687B">
              <w:rPr>
                <w:rFonts w:ascii="TimBashk" w:hAnsi="TimBashk"/>
                <w:sz w:val="24"/>
                <w:szCs w:val="24"/>
                <w:lang w:val="be-BY"/>
              </w:rPr>
              <w:t xml:space="preserve"> РАЙОНЫ</w:t>
            </w: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87B">
              <w:rPr>
                <w:rFonts w:ascii="TimBashk" w:hAnsi="TimBashk"/>
                <w:sz w:val="24"/>
                <w:szCs w:val="24"/>
                <w:lang w:val="be-BY"/>
              </w:rPr>
              <w:t>МУНИЦИПАЛЬ РАЙОНЫНЫ</w:t>
            </w:r>
            <w:r w:rsidRPr="0092687B">
              <w:rPr>
                <w:rFonts w:ascii="Arial" w:hAnsi="Arial" w:cs="Arial"/>
                <w:sz w:val="24"/>
                <w:szCs w:val="24"/>
                <w:lang w:val="be-BY"/>
              </w:rPr>
              <w:t>Ң</w:t>
            </w: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rFonts w:ascii="TimBashk" w:hAnsi="TimBashk"/>
                <w:sz w:val="24"/>
                <w:szCs w:val="24"/>
                <w:lang w:val="be-BY"/>
              </w:rPr>
            </w:pPr>
            <w:r w:rsidRPr="0092687B">
              <w:rPr>
                <w:rFonts w:ascii="TimBashk" w:hAnsi="TimBashk"/>
                <w:sz w:val="24"/>
                <w:szCs w:val="24"/>
              </w:rPr>
              <w:t>БИЛАЛ АУЫЛ</w:t>
            </w: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92687B">
              <w:rPr>
                <w:rFonts w:ascii="TimBashk" w:hAnsi="TimBashk"/>
                <w:sz w:val="24"/>
                <w:szCs w:val="24"/>
                <w:lang w:val="be-BY"/>
              </w:rPr>
              <w:t>СОВЕТЫ АУЫЛ БИЛ</w:t>
            </w:r>
            <w:r w:rsidRPr="0092687B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r w:rsidRPr="0092687B">
              <w:rPr>
                <w:sz w:val="24"/>
                <w:szCs w:val="24"/>
                <w:lang w:val="be-BY"/>
              </w:rPr>
              <w:t>М</w:t>
            </w:r>
            <w:r w:rsidRPr="0092687B">
              <w:rPr>
                <w:rFonts w:ascii="Arial" w:hAnsi="Arial" w:cs="Arial"/>
                <w:sz w:val="24"/>
                <w:szCs w:val="24"/>
                <w:lang w:val="be-BY"/>
              </w:rPr>
              <w:t>ӘҺ</w:t>
            </w:r>
            <w:r w:rsidRPr="0092687B">
              <w:rPr>
                <w:sz w:val="24"/>
                <w:szCs w:val="24"/>
                <w:lang w:val="be-BY"/>
              </w:rPr>
              <w:t>Е</w:t>
            </w:r>
            <w:r w:rsidRPr="0092687B">
              <w:rPr>
                <w:rFonts w:ascii="TimBashk" w:hAnsi="TimBashk"/>
                <w:sz w:val="24"/>
                <w:szCs w:val="24"/>
                <w:lang w:val="be-BY"/>
              </w:rPr>
              <w:t xml:space="preserve"> ХАКИМИ</w:t>
            </w:r>
            <w:r w:rsidRPr="0092687B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r w:rsidRPr="0092687B">
              <w:rPr>
                <w:sz w:val="24"/>
                <w:szCs w:val="24"/>
                <w:lang w:val="be-BY"/>
              </w:rPr>
              <w:t>ТЕ</w:t>
            </w: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rFonts w:ascii="TimBashk" w:hAnsi="TimBashk"/>
                <w:sz w:val="24"/>
                <w:szCs w:val="24"/>
                <w:lang w:val="be-BY"/>
              </w:rPr>
            </w:pP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92687B">
              <w:rPr>
                <w:sz w:val="20"/>
                <w:szCs w:val="20"/>
              </w:rPr>
              <w:t xml:space="preserve">453666, </w:t>
            </w:r>
            <w:proofErr w:type="spellStart"/>
            <w:r w:rsidRPr="0092687B">
              <w:rPr>
                <w:rFonts w:ascii="TimBashk" w:hAnsi="TimBashk"/>
                <w:sz w:val="20"/>
                <w:szCs w:val="20"/>
              </w:rPr>
              <w:t>Билал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92687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92687B">
              <w:rPr>
                <w:rFonts w:ascii="TimBashk" w:hAnsi="TimBashk"/>
                <w:sz w:val="20"/>
                <w:szCs w:val="20"/>
              </w:rPr>
              <w:t>,</w:t>
            </w:r>
          </w:p>
          <w:p w:rsidR="00870EA4" w:rsidRPr="00395A02" w:rsidRDefault="00870EA4" w:rsidP="00BF6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87B">
              <w:rPr>
                <w:rFonts w:ascii="TimBashk" w:hAnsi="TimBashk"/>
                <w:sz w:val="20"/>
                <w:szCs w:val="20"/>
              </w:rPr>
              <w:t>З.Биишева</w:t>
            </w:r>
            <w:proofErr w:type="spellEnd"/>
            <w:r w:rsidRPr="0092687B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92687B">
              <w:rPr>
                <w:sz w:val="20"/>
                <w:szCs w:val="20"/>
              </w:rPr>
              <w:t>1</w:t>
            </w:r>
            <w:r w:rsidRPr="00395A02">
              <w:rPr>
                <w:sz w:val="20"/>
                <w:szCs w:val="20"/>
              </w:rPr>
              <w:t>9</w:t>
            </w:r>
          </w:p>
          <w:p w:rsidR="00870EA4" w:rsidRPr="0092687B" w:rsidRDefault="00870EA4" w:rsidP="00BF6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87B">
              <w:rPr>
                <w:sz w:val="20"/>
                <w:szCs w:val="20"/>
                <w:lang w:val="be-BY"/>
              </w:rPr>
              <w:t>Тел. 8(34751)4-85-</w:t>
            </w:r>
            <w:r w:rsidRPr="0092687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EA4" w:rsidRPr="0092687B" w:rsidRDefault="00135323" w:rsidP="00BF6179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4.1pt;width:60.4pt;height:1in;z-index:2;mso-position-horizontal-relative:text;mso-position-vertical-relative:text">
                  <v:imagedata r:id="rId4" o:title=""/>
                </v:shape>
                <o:OLEObject Type="Embed" ProgID="MSPhotoEd.3" ShapeID="_x0000_s1028" DrawAspect="Content" ObjectID="_166954862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EA4" w:rsidRPr="0085685A" w:rsidRDefault="00870EA4" w:rsidP="00BF6179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685A">
              <w:rPr>
                <w:rFonts w:ascii="Times New Roman" w:hAnsi="Times New Roman"/>
                <w:sz w:val="24"/>
                <w:szCs w:val="24"/>
                <w:lang w:val="be-BY"/>
              </w:rPr>
              <w:t>ЕСПУБЛИКА БАШКОРТОСТАН</w:t>
            </w:r>
            <w:r w:rsidRPr="0085685A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</w:t>
            </w:r>
          </w:p>
          <w:p w:rsidR="00870EA4" w:rsidRPr="0085685A" w:rsidRDefault="00870EA4" w:rsidP="00BF6179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ПОСЕЛЕНИЯ БИЛЯЛОВСКИЙ СЕЛЬСОВЕТ</w:t>
            </w:r>
          </w:p>
          <w:p w:rsidR="00870EA4" w:rsidRPr="0085685A" w:rsidRDefault="00870EA4" w:rsidP="00BF6179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70EA4" w:rsidRPr="0085685A" w:rsidRDefault="00870EA4" w:rsidP="00BF617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БАЙМАКСКИЙ РАЙОН</w:t>
            </w:r>
          </w:p>
          <w:p w:rsidR="00870EA4" w:rsidRPr="0085685A" w:rsidRDefault="00870EA4" w:rsidP="00BF617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EA4" w:rsidRPr="0085685A" w:rsidRDefault="00870EA4" w:rsidP="00BF617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5A">
              <w:rPr>
                <w:rFonts w:ascii="Times New Roman" w:hAnsi="Times New Roman"/>
                <w:sz w:val="20"/>
                <w:szCs w:val="20"/>
              </w:rPr>
              <w:t xml:space="preserve">453666, </w:t>
            </w:r>
            <w:proofErr w:type="spellStart"/>
            <w:r w:rsidRPr="0085685A">
              <w:rPr>
                <w:rFonts w:ascii="Times New Roman" w:hAnsi="Times New Roman"/>
                <w:sz w:val="20"/>
                <w:szCs w:val="20"/>
              </w:rPr>
              <w:t>с.Билялово</w:t>
            </w:r>
            <w:proofErr w:type="spellEnd"/>
            <w:r w:rsidRPr="008568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0EA4" w:rsidRPr="0085685A" w:rsidRDefault="00870EA4" w:rsidP="00BF617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85A">
              <w:rPr>
                <w:rFonts w:ascii="Times New Roman" w:hAnsi="Times New Roman"/>
                <w:sz w:val="20"/>
                <w:szCs w:val="20"/>
              </w:rPr>
              <w:t>ул.З.Биишевой,19</w:t>
            </w:r>
          </w:p>
          <w:p w:rsidR="00870EA4" w:rsidRPr="0085685A" w:rsidRDefault="00870EA4" w:rsidP="00BF6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0"/>
                <w:szCs w:val="20"/>
                <w:lang w:val="be-BY"/>
              </w:rPr>
              <w:t>Тел. 8(34751)4-85-</w:t>
            </w:r>
            <w:r w:rsidRPr="008568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870EA4" w:rsidRDefault="00870EA4" w:rsidP="0085685A">
      <w:pPr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85685A">
        <w:rPr>
          <w:rFonts w:ascii="Lucida Sans Unicode" w:hAnsi="Lucida Sans Unicode" w:cs="Lucida Sans Unicode"/>
          <w:b/>
          <w:sz w:val="28"/>
          <w:lang w:val="ba-RU"/>
        </w:rPr>
        <w:t>Ҡ</w:t>
      </w:r>
      <w:r w:rsidRPr="0085685A">
        <w:rPr>
          <w:rFonts w:ascii="Times New Roman" w:hAnsi="Times New Roman"/>
          <w:b/>
          <w:sz w:val="28"/>
        </w:rPr>
        <w:t>АРАР</w:t>
      </w:r>
      <w:r w:rsidRPr="0085685A">
        <w:rPr>
          <w:rFonts w:ascii="Times New Roman" w:hAnsi="Times New Roman"/>
        </w:rPr>
        <w:t xml:space="preserve">  </w:t>
      </w:r>
      <w:r w:rsidRPr="008568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85685A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</w:p>
    <w:p w:rsidR="00063B80" w:rsidRPr="0085685A" w:rsidRDefault="007D6204" w:rsidP="008568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a-RU"/>
        </w:rPr>
        <w:t>25 март</w:t>
      </w:r>
      <w:r w:rsidR="00063B80">
        <w:rPr>
          <w:rFonts w:ascii="Times New Roman" w:hAnsi="Times New Roman"/>
          <w:b/>
          <w:sz w:val="28"/>
          <w:szCs w:val="28"/>
          <w:lang w:val="ba-RU"/>
        </w:rPr>
        <w:t xml:space="preserve"> 2020 й.                                №</w:t>
      </w:r>
      <w:r>
        <w:rPr>
          <w:rFonts w:ascii="Times New Roman" w:hAnsi="Times New Roman"/>
          <w:b/>
          <w:sz w:val="28"/>
          <w:szCs w:val="28"/>
          <w:lang w:val="ba-RU"/>
        </w:rPr>
        <w:t>25</w:t>
      </w:r>
      <w:r w:rsidR="00063B80"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ba-RU"/>
        </w:rPr>
        <w:t>25 марта</w:t>
      </w:r>
      <w:r w:rsidR="00063B80">
        <w:rPr>
          <w:rFonts w:ascii="Times New Roman" w:hAnsi="Times New Roman"/>
          <w:b/>
          <w:sz w:val="28"/>
          <w:szCs w:val="28"/>
          <w:lang w:val="ba-RU"/>
        </w:rPr>
        <w:t xml:space="preserve"> 2020г.     </w:t>
      </w:r>
    </w:p>
    <w:p w:rsidR="00870EA4" w:rsidRDefault="00870EA4" w:rsidP="008568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5685A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proofErr w:type="spellStart"/>
      <w:r w:rsidRPr="0085685A">
        <w:rPr>
          <w:rFonts w:ascii="Times New Roman" w:hAnsi="Times New Roman"/>
          <w:b/>
          <w:sz w:val="28"/>
          <w:szCs w:val="28"/>
        </w:rPr>
        <w:t>Биляловский</w:t>
      </w:r>
      <w:proofErr w:type="spellEnd"/>
      <w:r w:rsidRPr="0085685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 w:rsidRPr="0085685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70EA4" w:rsidRPr="0085685A" w:rsidRDefault="00870EA4" w:rsidP="008568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70EA4" w:rsidRPr="0085685A" w:rsidRDefault="00870EA4" w:rsidP="00856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5685A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сельского поселения </w:t>
      </w:r>
      <w:proofErr w:type="spellStart"/>
      <w:r w:rsidRPr="0085685A">
        <w:rPr>
          <w:rFonts w:ascii="Times New Roman" w:hAnsi="Times New Roman"/>
          <w:sz w:val="28"/>
          <w:szCs w:val="28"/>
        </w:rPr>
        <w:t>Биляловски</w:t>
      </w:r>
      <w:proofErr w:type="spellEnd"/>
      <w:r w:rsidRPr="0085685A">
        <w:rPr>
          <w:rFonts w:ascii="Times New Roman" w:hAnsi="Times New Roman"/>
          <w:sz w:val="28"/>
          <w:szCs w:val="28"/>
        </w:rPr>
        <w:tab/>
        <w:t xml:space="preserve">й сельсовет муниципального района </w:t>
      </w:r>
      <w:proofErr w:type="spellStart"/>
      <w:r w:rsidRPr="0085685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85685A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870EA4" w:rsidRPr="0085685A" w:rsidRDefault="00870EA4" w:rsidP="0085685A">
      <w:pPr>
        <w:suppressAutoHyphens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5685A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Pr="008568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85685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70EA4" w:rsidRPr="0085685A" w:rsidRDefault="00870EA4" w:rsidP="0085685A">
      <w:pPr>
        <w:suppressAutoHyphens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5685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063B80">
        <w:rPr>
          <w:rFonts w:ascii="Times New Roman" w:hAnsi="Times New Roman"/>
          <w:sz w:val="28"/>
          <w:szCs w:val="28"/>
        </w:rPr>
        <w:t>момента подписания.</w:t>
      </w:r>
    </w:p>
    <w:p w:rsidR="00870EA4" w:rsidRPr="0085685A" w:rsidRDefault="00870EA4" w:rsidP="0085685A">
      <w:pPr>
        <w:suppressAutoHyphens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5685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главу сельского поселения </w:t>
      </w:r>
      <w:proofErr w:type="spellStart"/>
      <w:r w:rsidRPr="0085685A"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Pr="008568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85685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70EA4" w:rsidRPr="0085685A" w:rsidRDefault="00870EA4" w:rsidP="00B754AD">
      <w:pPr>
        <w:shd w:val="clear" w:color="auto" w:fill="FFFFFF"/>
        <w:tabs>
          <w:tab w:val="left" w:pos="7502"/>
        </w:tabs>
        <w:spacing w:line="240" w:lineRule="auto"/>
        <w:ind w:right="21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</w:t>
      </w:r>
      <w:r w:rsidRPr="0085685A">
        <w:rPr>
          <w:rFonts w:ascii="Times New Roman" w:hAnsi="Times New Roman"/>
          <w:spacing w:val="-7"/>
          <w:sz w:val="28"/>
          <w:szCs w:val="28"/>
        </w:rPr>
        <w:t>Глава сельского поселения</w:t>
      </w:r>
    </w:p>
    <w:p w:rsidR="00870EA4" w:rsidRPr="0085685A" w:rsidRDefault="00870EA4" w:rsidP="00B754AD">
      <w:pPr>
        <w:shd w:val="clear" w:color="auto" w:fill="FFFFFF"/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</w:t>
      </w:r>
      <w:proofErr w:type="spellStart"/>
      <w:r w:rsidRPr="0085685A">
        <w:rPr>
          <w:rFonts w:ascii="Times New Roman" w:hAnsi="Times New Roman"/>
          <w:spacing w:val="-7"/>
          <w:sz w:val="28"/>
          <w:szCs w:val="28"/>
        </w:rPr>
        <w:t>Биляловский</w:t>
      </w:r>
      <w:proofErr w:type="spellEnd"/>
      <w:r w:rsidRPr="0085685A">
        <w:rPr>
          <w:rFonts w:ascii="Times New Roman" w:hAnsi="Times New Roman"/>
          <w:spacing w:val="-7"/>
          <w:sz w:val="28"/>
          <w:szCs w:val="28"/>
        </w:rPr>
        <w:t xml:space="preserve"> сельсовет</w:t>
      </w:r>
    </w:p>
    <w:p w:rsidR="00870EA4" w:rsidRPr="0085685A" w:rsidRDefault="00870EA4" w:rsidP="00B754AD">
      <w:pPr>
        <w:shd w:val="clear" w:color="auto" w:fill="FFFFFF"/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</w:t>
      </w:r>
      <w:r w:rsidRPr="0085685A">
        <w:rPr>
          <w:rFonts w:ascii="Times New Roman" w:hAnsi="Times New Roman"/>
          <w:spacing w:val="-7"/>
          <w:sz w:val="28"/>
          <w:szCs w:val="28"/>
        </w:rPr>
        <w:t>муниципального района</w:t>
      </w:r>
    </w:p>
    <w:p w:rsidR="00870EA4" w:rsidRPr="0085685A" w:rsidRDefault="00870EA4" w:rsidP="00B754AD">
      <w:pPr>
        <w:shd w:val="clear" w:color="auto" w:fill="FFFFFF"/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</w:t>
      </w:r>
      <w:proofErr w:type="spellStart"/>
      <w:r w:rsidRPr="0085685A">
        <w:rPr>
          <w:rFonts w:ascii="Times New Roman" w:hAnsi="Times New Roman"/>
          <w:spacing w:val="-7"/>
          <w:sz w:val="28"/>
          <w:szCs w:val="28"/>
        </w:rPr>
        <w:t>Баймакский</w:t>
      </w:r>
      <w:proofErr w:type="spellEnd"/>
      <w:r w:rsidRPr="0085685A">
        <w:rPr>
          <w:rFonts w:ascii="Times New Roman" w:hAnsi="Times New Roman"/>
          <w:spacing w:val="-7"/>
          <w:sz w:val="28"/>
          <w:szCs w:val="28"/>
        </w:rPr>
        <w:t xml:space="preserve"> район</w:t>
      </w:r>
    </w:p>
    <w:p w:rsidR="00870EA4" w:rsidRDefault="00870EA4" w:rsidP="00B754AD">
      <w:pPr>
        <w:shd w:val="clear" w:color="auto" w:fill="FFFFFF"/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Республики </w:t>
      </w:r>
      <w:proofErr w:type="gramStart"/>
      <w:r w:rsidRPr="0085685A">
        <w:rPr>
          <w:rFonts w:ascii="Times New Roman" w:hAnsi="Times New Roman"/>
          <w:spacing w:val="-7"/>
          <w:sz w:val="28"/>
          <w:szCs w:val="28"/>
        </w:rPr>
        <w:t xml:space="preserve">Башкортостан:   </w:t>
      </w:r>
      <w:proofErr w:type="gramEnd"/>
      <w:r w:rsidRPr="0085685A">
        <w:rPr>
          <w:rFonts w:ascii="Times New Roman" w:hAnsi="Times New Roman"/>
          <w:spacing w:val="-7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</w:t>
      </w:r>
      <w:proofErr w:type="spellStart"/>
      <w:r w:rsidRPr="0085685A">
        <w:rPr>
          <w:rFonts w:ascii="Times New Roman" w:hAnsi="Times New Roman"/>
          <w:spacing w:val="-7"/>
          <w:sz w:val="28"/>
          <w:szCs w:val="28"/>
        </w:rPr>
        <w:t>И.Ш.Саптаров</w:t>
      </w:r>
      <w:proofErr w:type="spellEnd"/>
    </w:p>
    <w:p w:rsidR="00870EA4" w:rsidRPr="0085685A" w:rsidRDefault="00870EA4" w:rsidP="00BF6179">
      <w:pPr>
        <w:suppressAutoHyphens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85685A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870EA4" w:rsidRPr="0085685A" w:rsidRDefault="00870EA4" w:rsidP="00BF6179">
      <w:pPr>
        <w:suppressAutoHyphens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85685A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70EA4" w:rsidRPr="0085685A" w:rsidRDefault="00870EA4" w:rsidP="00BF6179">
      <w:pPr>
        <w:suppressAutoHyphens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85685A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 w:rsidRPr="0085685A">
        <w:rPr>
          <w:rFonts w:ascii="Times New Roman" w:hAnsi="Times New Roman"/>
          <w:sz w:val="18"/>
          <w:szCs w:val="18"/>
        </w:rPr>
        <w:t>Биляловский</w:t>
      </w:r>
      <w:proofErr w:type="spellEnd"/>
      <w:r w:rsidRPr="0085685A">
        <w:rPr>
          <w:rFonts w:ascii="Times New Roman" w:hAnsi="Times New Roman"/>
          <w:sz w:val="18"/>
          <w:szCs w:val="18"/>
        </w:rPr>
        <w:t xml:space="preserve"> сельсовет </w:t>
      </w:r>
    </w:p>
    <w:p w:rsidR="00870EA4" w:rsidRPr="0085685A" w:rsidRDefault="00870EA4" w:rsidP="00BF6179">
      <w:pPr>
        <w:suppressAutoHyphens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85685A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85685A">
        <w:rPr>
          <w:rFonts w:ascii="Times New Roman" w:hAnsi="Times New Roman"/>
          <w:sz w:val="18"/>
          <w:szCs w:val="18"/>
        </w:rPr>
        <w:t>Баймакский</w:t>
      </w:r>
      <w:proofErr w:type="spellEnd"/>
      <w:r w:rsidRPr="0085685A">
        <w:rPr>
          <w:rFonts w:ascii="Times New Roman" w:hAnsi="Times New Roman"/>
          <w:sz w:val="18"/>
          <w:szCs w:val="18"/>
        </w:rPr>
        <w:t xml:space="preserve"> район </w:t>
      </w:r>
    </w:p>
    <w:p w:rsidR="00870EA4" w:rsidRPr="0085685A" w:rsidRDefault="00870EA4" w:rsidP="00BF6179">
      <w:pPr>
        <w:suppressAutoHyphens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85685A">
        <w:rPr>
          <w:rFonts w:ascii="Times New Roman" w:hAnsi="Times New Roman"/>
          <w:sz w:val="18"/>
          <w:szCs w:val="18"/>
        </w:rPr>
        <w:t xml:space="preserve">Республики Башкортостан от </w:t>
      </w:r>
      <w:r w:rsidR="007D6204">
        <w:rPr>
          <w:rFonts w:ascii="Times New Roman" w:hAnsi="Times New Roman"/>
          <w:sz w:val="18"/>
          <w:szCs w:val="18"/>
        </w:rPr>
        <w:t>25 марта 2020 г. №25</w:t>
      </w:r>
      <w:r w:rsidRPr="0085685A">
        <w:rPr>
          <w:rFonts w:ascii="Times New Roman" w:hAnsi="Times New Roman"/>
          <w:sz w:val="18"/>
          <w:szCs w:val="18"/>
        </w:rPr>
        <w:t xml:space="preserve">  </w:t>
      </w:r>
    </w:p>
    <w:p w:rsidR="00870EA4" w:rsidRPr="0085685A" w:rsidRDefault="00870EA4" w:rsidP="0085685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70EA4" w:rsidRPr="0085685A" w:rsidRDefault="00870EA4" w:rsidP="0085685A">
      <w:pPr>
        <w:suppressAutoHyphens/>
        <w:jc w:val="center"/>
        <w:rPr>
          <w:rFonts w:ascii="Times New Roman" w:hAnsi="Times New Roman"/>
          <w:b/>
          <w:sz w:val="19"/>
          <w:szCs w:val="19"/>
        </w:rPr>
      </w:pPr>
      <w:r w:rsidRPr="0085685A">
        <w:rPr>
          <w:rFonts w:ascii="Times New Roman" w:hAnsi="Times New Roman"/>
          <w:b/>
          <w:sz w:val="19"/>
          <w:szCs w:val="19"/>
        </w:rPr>
        <w:t>Порядок</w:t>
      </w:r>
    </w:p>
    <w:p w:rsidR="00870EA4" w:rsidRPr="0085685A" w:rsidRDefault="00870EA4" w:rsidP="0085685A">
      <w:pPr>
        <w:suppressAutoHyphens/>
        <w:jc w:val="center"/>
        <w:rPr>
          <w:rFonts w:ascii="Times New Roman" w:hAnsi="Times New Roman"/>
          <w:b/>
          <w:sz w:val="19"/>
          <w:szCs w:val="19"/>
        </w:rPr>
      </w:pPr>
      <w:r w:rsidRPr="0085685A">
        <w:rPr>
          <w:rFonts w:ascii="Times New Roman" w:hAnsi="Times New Roman"/>
          <w:b/>
          <w:sz w:val="19"/>
          <w:szCs w:val="19"/>
        </w:rPr>
        <w:t xml:space="preserve">формирования перечня налоговых расходов сельского поселения </w:t>
      </w:r>
      <w:proofErr w:type="spellStart"/>
      <w:r w:rsidRPr="0085685A">
        <w:rPr>
          <w:rFonts w:ascii="Times New Roman" w:hAnsi="Times New Roman"/>
          <w:b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b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b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b/>
          <w:sz w:val="19"/>
          <w:szCs w:val="19"/>
        </w:rPr>
        <w:t xml:space="preserve"> район Республики Башкортостан и оценки налоговых расходов сельского поселения </w:t>
      </w:r>
      <w:proofErr w:type="spellStart"/>
      <w:r>
        <w:rPr>
          <w:rFonts w:ascii="Times New Roman" w:hAnsi="Times New Roman"/>
          <w:b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b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b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b/>
          <w:sz w:val="19"/>
          <w:szCs w:val="19"/>
        </w:rPr>
        <w:t xml:space="preserve"> район Республики Башкортостан</w:t>
      </w:r>
    </w:p>
    <w:p w:rsidR="00870EA4" w:rsidRPr="0085685A" w:rsidRDefault="00870EA4" w:rsidP="0085685A">
      <w:pPr>
        <w:suppressAutoHyphens/>
        <w:jc w:val="center"/>
        <w:rPr>
          <w:rFonts w:ascii="Times New Roman" w:hAnsi="Times New Roman"/>
          <w:sz w:val="19"/>
          <w:szCs w:val="19"/>
        </w:rPr>
      </w:pPr>
    </w:p>
    <w:p w:rsidR="00870EA4" w:rsidRPr="0085685A" w:rsidRDefault="00870EA4" w:rsidP="0085685A">
      <w:pPr>
        <w:suppressAutoHyphens/>
        <w:jc w:val="center"/>
        <w:rPr>
          <w:rFonts w:ascii="Times New Roman" w:hAnsi="Times New Roman"/>
          <w:b/>
          <w:sz w:val="19"/>
          <w:szCs w:val="19"/>
        </w:rPr>
      </w:pPr>
      <w:r w:rsidRPr="0085685A">
        <w:rPr>
          <w:rFonts w:ascii="Times New Roman" w:hAnsi="Times New Roman"/>
          <w:b/>
          <w:sz w:val="19"/>
          <w:szCs w:val="19"/>
        </w:rPr>
        <w:t>I. Общие положения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 методику оценки налоговых расходов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(далее - налоговые расходы).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2. В целях настоящего Порядка применяются следующие понятия и термины: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налоговые расходы - выпадающие доходы бюджета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</w:t>
      </w:r>
      <w:r w:rsidRPr="0085685A">
        <w:rPr>
          <w:rFonts w:ascii="Times New Roman" w:hAnsi="Times New Roman"/>
          <w:sz w:val="19"/>
          <w:szCs w:val="19"/>
        </w:rPr>
        <w:t>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 (или) целями социально-экономической политики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не относящимися к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куратор налогового расхода - ответственный исполнитель 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иной орган, организация, ответственный в соответствии с полномочиями, установленными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за достижение соответствующих налоговому расходу целей 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(ее структурных элементов) и (или) целей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не относящихся к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реализуемым в рамках нескольких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(муниципальных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 w:rsidRPr="0085685A">
        <w:rPr>
          <w:rFonts w:ascii="Times New Roman" w:hAnsi="Times New Roman"/>
          <w:sz w:val="19"/>
          <w:szCs w:val="19"/>
        </w:rPr>
        <w:t xml:space="preserve">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 непрограммных направлений деятельности);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</w:t>
      </w:r>
      <w:r w:rsidRPr="003C770E"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lastRenderedPageBreak/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а также иные характеристики, предусмотренные разделом III приложения к настоящему Порядку;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870EA4" w:rsidRPr="0085685A" w:rsidRDefault="00870EA4" w:rsidP="00CA330A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3. В целях оценки налоговых расходов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а) формирует перечень налоговых расходов;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б) ведет реестр налоговых расходов;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5. В целях оценки налоговых расходов кураторы налоговых расходов: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а) формируют паспорта налоговых расходов, содержащие информацию по перечню согласно </w:t>
      </w:r>
      <w:proofErr w:type="gramStart"/>
      <w:r w:rsidRPr="0085685A">
        <w:rPr>
          <w:rFonts w:ascii="Times New Roman" w:hAnsi="Times New Roman"/>
          <w:sz w:val="19"/>
          <w:szCs w:val="19"/>
        </w:rPr>
        <w:t>приложению</w:t>
      </w:r>
      <w:proofErr w:type="gramEnd"/>
      <w:r w:rsidRPr="0085685A">
        <w:rPr>
          <w:rFonts w:ascii="Times New Roman" w:hAnsi="Times New Roman"/>
          <w:sz w:val="19"/>
          <w:szCs w:val="19"/>
        </w:rPr>
        <w:t xml:space="preserve"> к настоящему Порядку;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б) осуществляют оценку эффективности каждого курируемого налогового расхода.</w:t>
      </w: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85685A">
        <w:rPr>
          <w:rFonts w:ascii="Times New Roman" w:hAnsi="Times New Roman"/>
          <w:b/>
          <w:sz w:val="19"/>
          <w:szCs w:val="19"/>
        </w:rPr>
        <w:t>II. Формирование перечня налоговых расходов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6. Проект перечня налоговых расходов на очередной финансовый год и плановый период формируется сельским поселением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а также иным органам, организациям, которые предлагается закрепить в качестве кураторов налоговых расходов.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lastRenderedPageBreak/>
        <w:t xml:space="preserve">7. 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кураторам налоговых расходов, и в случае несогласия с указанным распределением направляют в сельское поселение Зилаирский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В случае если результаты рассмотрения не направлены 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структуру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При наличии разногласий по проекту перечня налоговых расходов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85685A">
        <w:rPr>
          <w:rFonts w:ascii="Times New Roman" w:hAnsi="Times New Roman"/>
          <w:sz w:val="19"/>
          <w:szCs w:val="19"/>
        </w:rPr>
        <w:t>на официальной сайте</w:t>
      </w:r>
      <w:proofErr w:type="gramEnd"/>
      <w:r w:rsidRPr="0085685A">
        <w:rPr>
          <w:rFonts w:ascii="Times New Roman" w:hAnsi="Times New Roman"/>
          <w:sz w:val="19"/>
          <w:szCs w:val="19"/>
        </w:rPr>
        <w:t xml:space="preserve">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информационно-телекоммуникационной сети "Интернет".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структуру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соответствующую информацию для уточнения указанного перечня.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рамках формирования проекта решения Совета депутатов поселения о бюджете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на очередной финансовый год и плановый период).</w:t>
      </w: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85685A">
        <w:rPr>
          <w:rFonts w:ascii="Times New Roman" w:hAnsi="Times New Roman"/>
          <w:b/>
          <w:sz w:val="19"/>
          <w:szCs w:val="19"/>
        </w:rPr>
        <w:t>III. Оценка эффективности налоговых расходов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сельским поселением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lastRenderedPageBreak/>
        <w:t>12. В целях оценки эффективности налоговых расходов: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а) оценку целесообразности предоставления налоговых расходов;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б) оценку результативности налоговых расходов.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14. Критериями целесообразности налоговых расходов являются: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соответствие налоговых расходов целям и задачам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(в отношении непрограммных налоговых расходов);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Башкортостан, и включает оценку бюджетной эффективности налогового расхода.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16. В качестве критерия результативности определяется не менее одного показателя (индикатора):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Башкортостан), на значение которого оказывает влияние рассматриваемый налоговый расход;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Башкортостан).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18. В целях проведения оценки бюджетной эффективности налоговых расходов осуществляется: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85685A">
        <w:rPr>
          <w:rFonts w:ascii="Times New Roman" w:hAnsi="Times New Roman"/>
          <w:sz w:val="19"/>
          <w:szCs w:val="19"/>
        </w:rPr>
        <w:t>затратности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В целях настоящего пункта в качестве альтернативных механизмов могут учитываться в том числе: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lastRenderedPageBreak/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предоставление гарантий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по обязательствам соответствующих категорий налогоплательщиков;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870EA4" w:rsidRPr="0085685A" w:rsidRDefault="00135323" w:rsidP="00A63BF8">
      <w:pPr>
        <w:pStyle w:val="a3"/>
        <w:spacing w:before="0" w:beforeAutospacing="0" w:after="255" w:afterAutospacing="0"/>
        <w:rPr>
          <w:color w:val="000000"/>
          <w:sz w:val="19"/>
          <w:szCs w:val="19"/>
        </w:rPr>
      </w:pPr>
      <w:r>
        <w:rPr>
          <w:noProof/>
        </w:rPr>
        <w:pict>
          <v:shape id="Рисунок 1" o:spid="_x0000_s1029" type="#_x0000_t75" style="position:absolute;margin-left:168.4pt;margin-top:.25pt;width:159.05pt;height:35.7pt;z-index:1;visibility:visible">
            <v:imagedata r:id="rId6" o:title=""/>
            <w10:wrap type="square" side="left"/>
          </v:shape>
        </w:pict>
      </w:r>
    </w:p>
    <w:p w:rsidR="00870EA4" w:rsidRPr="0085685A" w:rsidRDefault="00870EA4" w:rsidP="00A63BF8">
      <w:pPr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где: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i - порядковый номер года, имеющий значение от 1 до 5;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85685A">
        <w:rPr>
          <w:rFonts w:ascii="Times New Roman" w:hAnsi="Times New Roman"/>
          <w:sz w:val="19"/>
          <w:szCs w:val="19"/>
        </w:rPr>
        <w:t>m</w:t>
      </w:r>
      <w:r w:rsidRPr="0085685A">
        <w:rPr>
          <w:rFonts w:ascii="Times New Roman" w:hAnsi="Times New Roman"/>
          <w:sz w:val="19"/>
          <w:szCs w:val="19"/>
          <w:vertAlign w:val="subscript"/>
        </w:rPr>
        <w:t>i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- количество плательщиков, воспользовавшихся льготой в i-м году;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j - порядковый номер плательщика, имеющий значение от 1 до m;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85685A">
        <w:rPr>
          <w:rFonts w:ascii="Times New Roman" w:hAnsi="Times New Roman"/>
          <w:sz w:val="19"/>
          <w:szCs w:val="19"/>
        </w:rPr>
        <w:t>N</w:t>
      </w:r>
      <w:r w:rsidRPr="0085685A">
        <w:rPr>
          <w:rFonts w:ascii="Times New Roman" w:hAnsi="Times New Roman"/>
          <w:sz w:val="19"/>
          <w:szCs w:val="19"/>
          <w:vertAlign w:val="subscript"/>
        </w:rPr>
        <w:t>ij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- объем налогов, сборов, задекларированных получателями налоговых расходов в бюджет муниципального образования Зилаирский сельское поселение j-м плательщиком в i-м году.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B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 xml:space="preserve"> - базовый объем налогов, сборов, задекларированных для уплаты в бюджет муниципального образования Зилаирский сельское поселение j-м плательщиком в базовом году.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Базовый объем налогов, сборов, задекларированных для уплаты в бюджет муниципального образования Зилаирский сельское поселение j-м плательщиком в базовом году (B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>), рассчитывается по формуле:</w:t>
      </w:r>
    </w:p>
    <w:p w:rsidR="00870EA4" w:rsidRPr="0085685A" w:rsidRDefault="00870EA4" w:rsidP="00A63BF8">
      <w:pPr>
        <w:spacing w:line="240" w:lineRule="auto"/>
        <w:jc w:val="center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B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 xml:space="preserve"> = N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 xml:space="preserve"> + L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>,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где: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N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 xml:space="preserve"> -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году;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L</w:t>
      </w:r>
      <w:r w:rsidRPr="0085685A">
        <w:rPr>
          <w:rFonts w:ascii="Times New Roman" w:hAnsi="Times New Roman"/>
          <w:sz w:val="19"/>
          <w:szCs w:val="19"/>
          <w:vertAlign w:val="subscript"/>
        </w:rPr>
        <w:t>0j</w:t>
      </w:r>
      <w:r w:rsidRPr="0085685A">
        <w:rPr>
          <w:rFonts w:ascii="Times New Roman" w:hAnsi="Times New Roman"/>
          <w:sz w:val="19"/>
          <w:szCs w:val="19"/>
        </w:rPr>
        <w:t xml:space="preserve"> - объем льгот, предоставленных j-</w:t>
      </w:r>
      <w:proofErr w:type="spellStart"/>
      <w:r w:rsidRPr="0085685A">
        <w:rPr>
          <w:rFonts w:ascii="Times New Roman" w:hAnsi="Times New Roman"/>
          <w:sz w:val="19"/>
          <w:szCs w:val="19"/>
        </w:rPr>
        <w:t>му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плательщику в базовом году.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proofErr w:type="spellStart"/>
      <w:r w:rsidRPr="0085685A">
        <w:rPr>
          <w:rFonts w:ascii="Times New Roman" w:hAnsi="Times New Roman"/>
          <w:sz w:val="19"/>
          <w:szCs w:val="19"/>
        </w:rPr>
        <w:t>g</w:t>
      </w:r>
      <w:r w:rsidRPr="0085685A">
        <w:rPr>
          <w:rFonts w:ascii="Times New Roman" w:hAnsi="Times New Roman"/>
          <w:sz w:val="19"/>
          <w:szCs w:val="19"/>
          <w:vertAlign w:val="subscript"/>
        </w:rPr>
        <w:t>i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- номинальный темп прироста доходов бюджета муниципального образования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сельское поселение в i-м году по отношению к базовому году.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70EA4" w:rsidRPr="0085685A" w:rsidRDefault="00870EA4" w:rsidP="00A63BF8">
      <w:pPr>
        <w:spacing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19. По итогам оценки результативности формируется заключение: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lastRenderedPageBreak/>
        <w:t>о значимости вклада налоговых расходов в достижение соответствующих показателей (индикаторов);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870EA4" w:rsidRPr="0085685A" w:rsidRDefault="00870EA4" w:rsidP="00A63BF8">
      <w:pPr>
        <w:suppressAutoHyphens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срок до 10 августа текущего финансового года.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21. Результаты оценки налоговых расходов учитываются при оценке эффективности муниципальных программ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Башкортостан. 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22. Сельское поселение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обобщает результаты оценки и рекомендации по результатам оценки налоговых расходов.</w:t>
      </w:r>
    </w:p>
    <w:p w:rsidR="00870EA4" w:rsidRPr="0085685A" w:rsidRDefault="00870EA4" w:rsidP="00A63BF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85685A">
        <w:rPr>
          <w:rFonts w:ascii="Times New Roman" w:hAnsi="Times New Roman"/>
          <w:sz w:val="19"/>
          <w:szCs w:val="19"/>
        </w:rPr>
        <w:t xml:space="preserve">Результаты указанной оценки учитываются при формировании основных направлений бюджетной, налоговой и таможенно-тарифной политики сельского поселения </w:t>
      </w:r>
      <w:proofErr w:type="spellStart"/>
      <w:r>
        <w:rPr>
          <w:rFonts w:ascii="Times New Roman" w:hAnsi="Times New Roman"/>
          <w:sz w:val="19"/>
          <w:szCs w:val="19"/>
        </w:rPr>
        <w:t>Биляловский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sz w:val="19"/>
          <w:szCs w:val="19"/>
        </w:rPr>
        <w:t>Баймакский</w:t>
      </w:r>
      <w:proofErr w:type="spellEnd"/>
      <w:r w:rsidRPr="0085685A">
        <w:rPr>
          <w:rFonts w:ascii="Times New Roman" w:hAnsi="Times New Roman"/>
          <w:sz w:val="19"/>
          <w:szCs w:val="19"/>
        </w:rPr>
        <w:t xml:space="preserve"> район Республики Башкортостан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870EA4" w:rsidRPr="0085685A" w:rsidRDefault="00870EA4" w:rsidP="00A63BF8">
      <w:pPr>
        <w:suppressAutoHyphens/>
        <w:spacing w:line="240" w:lineRule="auto"/>
        <w:jc w:val="right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870EA4" w:rsidRDefault="00870EA4" w:rsidP="00A63BF8">
      <w:pPr>
        <w:suppressAutoHyphens/>
        <w:spacing w:line="240" w:lineRule="auto"/>
        <w:rPr>
          <w:rFonts w:ascii="Times New Roman" w:hAnsi="Times New Roman"/>
        </w:rPr>
      </w:pPr>
    </w:p>
    <w:p w:rsidR="00135323" w:rsidRPr="0085685A" w:rsidRDefault="00135323" w:rsidP="00A63BF8">
      <w:pPr>
        <w:suppressAutoHyphens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870EA4" w:rsidRPr="0085685A" w:rsidRDefault="00870EA4" w:rsidP="00A63BF8">
      <w:pPr>
        <w:suppressAutoHyphens/>
        <w:spacing w:line="240" w:lineRule="auto"/>
        <w:jc w:val="right"/>
        <w:rPr>
          <w:rFonts w:ascii="Times New Roman" w:hAnsi="Times New Roman"/>
        </w:rPr>
      </w:pPr>
      <w:r w:rsidRPr="0085685A">
        <w:rPr>
          <w:rFonts w:ascii="Times New Roman" w:hAnsi="Times New Roman"/>
        </w:rPr>
        <w:lastRenderedPageBreak/>
        <w:t>ПРИЛОЖЕНИЕ</w:t>
      </w:r>
    </w:p>
    <w:p w:rsidR="00870EA4" w:rsidRPr="0085685A" w:rsidRDefault="00870EA4" w:rsidP="00A63BF8">
      <w:pPr>
        <w:suppressAutoHyphens/>
        <w:spacing w:line="240" w:lineRule="auto"/>
        <w:jc w:val="right"/>
        <w:rPr>
          <w:rFonts w:ascii="Times New Roman" w:hAnsi="Times New Roman"/>
        </w:rPr>
      </w:pPr>
      <w:r w:rsidRPr="0085685A">
        <w:rPr>
          <w:rFonts w:ascii="Times New Roman" w:hAnsi="Times New Roman"/>
        </w:rPr>
        <w:t>к Порядку формирования перечня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налоговых расходов сельского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поселения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</w:rPr>
        <w:t xml:space="preserve">  сельсовет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муниципального района </w:t>
      </w:r>
      <w:proofErr w:type="spellStart"/>
      <w:r w:rsidRPr="0085685A">
        <w:rPr>
          <w:rFonts w:ascii="Times New Roman" w:hAnsi="Times New Roman"/>
        </w:rPr>
        <w:t>Баймакский</w:t>
      </w:r>
      <w:proofErr w:type="spellEnd"/>
      <w:r w:rsidRPr="008568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>район Республики Башкортостан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и оценки налоговых расходов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сельского поселения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85685A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proofErr w:type="spellStart"/>
      <w:r w:rsidRPr="0085685A">
        <w:rPr>
          <w:rFonts w:ascii="Times New Roman" w:hAnsi="Times New Roman"/>
        </w:rPr>
        <w:t>Баймакский</w:t>
      </w:r>
      <w:proofErr w:type="spellEnd"/>
      <w:r w:rsidRPr="0085685A">
        <w:rPr>
          <w:rFonts w:ascii="Times New Roman" w:hAnsi="Times New Roman"/>
        </w:rPr>
        <w:t xml:space="preserve"> район Республики Башкортостан</w:t>
      </w: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85A">
        <w:rPr>
          <w:rFonts w:ascii="Times New Roman" w:hAnsi="Times New Roman"/>
          <w:b/>
          <w:sz w:val="24"/>
          <w:szCs w:val="24"/>
        </w:rPr>
        <w:t>Перечень</w:t>
      </w:r>
    </w:p>
    <w:p w:rsidR="00870EA4" w:rsidRPr="0085685A" w:rsidRDefault="00870EA4" w:rsidP="00A63B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85A">
        <w:rPr>
          <w:rFonts w:ascii="Times New Roman" w:hAnsi="Times New Roman"/>
          <w:b/>
          <w:sz w:val="24"/>
          <w:szCs w:val="24"/>
        </w:rPr>
        <w:t xml:space="preserve">информации, включаемой в паспорт налогового расхода сельского поселения </w:t>
      </w:r>
      <w:proofErr w:type="spellStart"/>
      <w:r w:rsidRPr="00BF6179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Pr="00BF6179">
        <w:rPr>
          <w:rFonts w:ascii="Times New Roman" w:hAnsi="Times New Roman"/>
          <w:b/>
          <w:sz w:val="24"/>
          <w:szCs w:val="24"/>
        </w:rPr>
        <w:t xml:space="preserve"> </w:t>
      </w:r>
      <w:r w:rsidRPr="0085685A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85685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Pr="0085685A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5"/>
        <w:gridCol w:w="6226"/>
        <w:gridCol w:w="3705"/>
      </w:tblGrid>
      <w:tr w:rsidR="00870EA4" w:rsidRPr="0085685A" w:rsidTr="00501A31">
        <w:tc>
          <w:tcPr>
            <w:tcW w:w="0" w:type="auto"/>
            <w:gridSpan w:val="2"/>
          </w:tcPr>
          <w:p w:rsidR="00870EA4" w:rsidRPr="00135323" w:rsidRDefault="00870EA4" w:rsidP="00A63B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323">
              <w:rPr>
                <w:rFonts w:ascii="Times New Roman" w:hAnsi="Times New Roman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5323">
              <w:rPr>
                <w:rFonts w:ascii="Times New Roman" w:hAnsi="Times New Roman"/>
                <w:b/>
                <w:bCs/>
                <w:color w:val="000000"/>
              </w:rPr>
              <w:t>Источник данных</w:t>
            </w:r>
          </w:p>
        </w:tc>
      </w:tr>
      <w:tr w:rsidR="00870EA4" w:rsidRPr="0085685A" w:rsidTr="00501A31">
        <w:tc>
          <w:tcPr>
            <w:tcW w:w="0" w:type="auto"/>
            <w:gridSpan w:val="3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I. Нормативные характеристики налогового расхода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  <w:r w:rsidRPr="00135323">
              <w:rPr>
                <w:rFonts w:ascii="Times New Roman" w:hAnsi="Times New Roman"/>
                <w:color w:val="000000"/>
              </w:rPr>
              <w:t xml:space="preserve"> (далее - налоговый расход)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rPr>
          <w:trHeight w:val="311"/>
        </w:trPr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куратора налогового расхода (далее - куратор)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  <w:gridSpan w:val="3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II. Целевые характеристики налогового расхода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куратора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Наименование муниципальной программы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  <w:r w:rsidRPr="00135323">
              <w:rPr>
                <w:rFonts w:ascii="Times New Roman" w:hAnsi="Times New Roman"/>
                <w:color w:val="000000"/>
              </w:rPr>
              <w:t xml:space="preserve">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Наименования структурных элементов муниципальной программы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  <w:r w:rsidRPr="00135323">
              <w:rPr>
                <w:rFonts w:ascii="Times New Roman" w:hAnsi="Times New Roman"/>
                <w:color w:val="000000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перечень налоговых расходов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 </w:t>
            </w:r>
            <w:r w:rsidRPr="00135323">
              <w:rPr>
                <w:rFonts w:ascii="Times New Roman" w:hAnsi="Times New Roman"/>
                <w:color w:val="000000"/>
              </w:rPr>
              <w:t>и ее структурных элементов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куратора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 </w:t>
            </w:r>
            <w:r w:rsidRPr="00135323">
              <w:rPr>
                <w:rFonts w:ascii="Times New Roman" w:hAnsi="Times New Roman"/>
                <w:color w:val="000000"/>
              </w:rPr>
              <w:t>и ее структурных элементов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куратора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  <w:r w:rsidRPr="00135323">
              <w:rPr>
                <w:rFonts w:ascii="Times New Roman" w:hAnsi="Times New Roman"/>
                <w:color w:val="000000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куратора</w:t>
            </w:r>
          </w:p>
        </w:tc>
      </w:tr>
      <w:tr w:rsidR="00870EA4" w:rsidRPr="0085685A" w:rsidTr="00501A31">
        <w:tc>
          <w:tcPr>
            <w:tcW w:w="0" w:type="auto"/>
            <w:gridSpan w:val="3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III. Фискальные характеристики налогового расхода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данные главного администратора доходов,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  <w:hyperlink r:id="rId7" w:anchor="2" w:history="1">
              <w:r w:rsidRPr="00135323">
                <w:rPr>
                  <w:rFonts w:ascii="Times New Roman" w:hAnsi="Times New Roman"/>
                  <w:color w:val="808080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данные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8" w:anchor="3" w:history="1">
              <w:r w:rsidRPr="00135323">
                <w:rPr>
                  <w:rFonts w:ascii="Times New Roman" w:hAnsi="Times New Roman"/>
                  <w:color w:val="808080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главного администратора доходов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главного администратора доходов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135323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proofErr w:type="spellStart"/>
            <w:r w:rsidRPr="00135323">
              <w:rPr>
                <w:rFonts w:ascii="Times New Roman" w:hAnsi="Times New Roman"/>
              </w:rPr>
              <w:t>Биляловский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сельсовет муниципального района </w:t>
            </w:r>
            <w:proofErr w:type="spellStart"/>
            <w:r w:rsidRPr="00135323">
              <w:rPr>
                <w:rFonts w:ascii="Times New Roman" w:hAnsi="Times New Roman"/>
                <w:kern w:val="2"/>
              </w:rPr>
              <w:t>Баймакский</w:t>
            </w:r>
            <w:proofErr w:type="spellEnd"/>
            <w:r w:rsidRPr="00135323">
              <w:rPr>
                <w:rFonts w:ascii="Times New Roman" w:hAnsi="Times New Roman"/>
                <w:kern w:val="2"/>
              </w:rPr>
              <w:t xml:space="preserve"> район Республики Башкортостан </w:t>
            </w:r>
            <w:r w:rsidRPr="00135323">
              <w:rPr>
                <w:rFonts w:ascii="Times New Roman" w:hAnsi="Times New Roman"/>
                <w:color w:val="000000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данные главного администратора доходов</w:t>
            </w:r>
          </w:p>
        </w:tc>
      </w:tr>
      <w:tr w:rsidR="00870EA4" w:rsidRPr="0085685A" w:rsidTr="00501A31"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t xml:space="preserve">Объем налогов, сборов и таможенного платежа, задекларированных для уплаты получателями соответствующего </w:t>
            </w:r>
            <w:r w:rsidRPr="00135323">
              <w:rPr>
                <w:rFonts w:ascii="Times New Roman" w:hAnsi="Times New Roman"/>
                <w:color w:val="000000"/>
              </w:rPr>
              <w:lastRenderedPageBreak/>
              <w:t>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</w:tcPr>
          <w:p w:rsidR="00870EA4" w:rsidRPr="00135323" w:rsidRDefault="00870EA4" w:rsidP="00A63B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5323">
              <w:rPr>
                <w:rFonts w:ascii="Times New Roman" w:hAnsi="Times New Roman"/>
                <w:color w:val="000000"/>
              </w:rPr>
              <w:lastRenderedPageBreak/>
              <w:t>данные главного администратора доходов</w:t>
            </w:r>
          </w:p>
        </w:tc>
      </w:tr>
    </w:tbl>
    <w:p w:rsidR="00870EA4" w:rsidRPr="0085685A" w:rsidRDefault="00870EA4" w:rsidP="00A63BF8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85685A">
        <w:rPr>
          <w:rFonts w:ascii="Times New Roman" w:hAnsi="Times New Roman"/>
          <w:color w:val="000000"/>
          <w:szCs w:val="24"/>
        </w:rPr>
        <w:lastRenderedPageBreak/>
        <w:t>-------------------------------------------</w:t>
      </w:r>
    </w:p>
    <w:p w:rsidR="00870EA4" w:rsidRPr="0085685A" w:rsidRDefault="00870EA4" w:rsidP="00A63BF8">
      <w:pPr>
        <w:spacing w:after="255" w:line="240" w:lineRule="auto"/>
        <w:jc w:val="both"/>
        <w:rPr>
          <w:rFonts w:ascii="Times New Roman" w:hAnsi="Times New Roman"/>
          <w:color w:val="000000"/>
        </w:rPr>
      </w:pPr>
      <w:r w:rsidRPr="0085685A">
        <w:rPr>
          <w:rFonts w:ascii="Times New Roman" w:hAnsi="Times New Roman"/>
          <w:color w:val="000000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85685A">
        <w:rPr>
          <w:rFonts w:ascii="Times New Roman" w:hAnsi="Times New Roman"/>
          <w:kern w:val="2"/>
        </w:rPr>
        <w:t xml:space="preserve">сельским поселением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  <w:kern w:val="2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kern w:val="2"/>
        </w:rPr>
        <w:t>Баймакский</w:t>
      </w:r>
      <w:proofErr w:type="spellEnd"/>
      <w:r w:rsidRPr="0085685A">
        <w:rPr>
          <w:rFonts w:ascii="Times New Roman" w:hAnsi="Times New Roman"/>
          <w:kern w:val="2"/>
        </w:rPr>
        <w:t xml:space="preserve"> район Республики Башкортостан</w:t>
      </w:r>
      <w:r w:rsidRPr="0085685A">
        <w:rPr>
          <w:rFonts w:ascii="Times New Roman" w:hAnsi="Times New Roman"/>
          <w:color w:val="000000"/>
        </w:rPr>
        <w:t>.</w:t>
      </w:r>
    </w:p>
    <w:p w:rsidR="00870EA4" w:rsidRPr="0085685A" w:rsidRDefault="00870EA4" w:rsidP="00A63BF8">
      <w:pPr>
        <w:spacing w:after="255" w:line="240" w:lineRule="auto"/>
        <w:jc w:val="both"/>
        <w:rPr>
          <w:rFonts w:ascii="Times New Roman" w:hAnsi="Times New Roman"/>
          <w:color w:val="000000"/>
        </w:rPr>
      </w:pPr>
      <w:r w:rsidRPr="0085685A">
        <w:rPr>
          <w:rFonts w:ascii="Times New Roman" w:hAnsi="Times New Roman"/>
          <w:color w:val="000000"/>
        </w:rPr>
        <w:t>*(2) </w:t>
      </w:r>
      <w:proofErr w:type="gramStart"/>
      <w:r w:rsidRPr="0085685A">
        <w:rPr>
          <w:rFonts w:ascii="Times New Roman" w:hAnsi="Times New Roman"/>
          <w:color w:val="000000"/>
        </w:rPr>
        <w:t>В</w:t>
      </w:r>
      <w:proofErr w:type="gramEnd"/>
      <w:r w:rsidRPr="0085685A">
        <w:rPr>
          <w:rFonts w:ascii="Times New Roman" w:hAnsi="Times New Roman"/>
          <w:color w:val="000000"/>
        </w:rPr>
        <w:t xml:space="preserve"> случаях и порядке, предусмотренных пунктом 11 Порядка формирования перечня налоговых расходов </w:t>
      </w:r>
      <w:r w:rsidRPr="0085685A">
        <w:rPr>
          <w:rFonts w:ascii="Times New Roman" w:hAnsi="Times New Roman"/>
          <w:kern w:val="2"/>
        </w:rPr>
        <w:t xml:space="preserve">сельского поселения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  <w:kern w:val="2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kern w:val="2"/>
        </w:rPr>
        <w:t>Баймакский</w:t>
      </w:r>
      <w:proofErr w:type="spellEnd"/>
      <w:r w:rsidRPr="0085685A">
        <w:rPr>
          <w:rFonts w:ascii="Times New Roman" w:hAnsi="Times New Roman"/>
          <w:kern w:val="2"/>
        </w:rPr>
        <w:t xml:space="preserve"> район Республики Башкортостан</w:t>
      </w:r>
      <w:r w:rsidRPr="0085685A">
        <w:rPr>
          <w:rFonts w:ascii="Times New Roman" w:hAnsi="Times New Roman"/>
          <w:color w:val="000000"/>
        </w:rPr>
        <w:t xml:space="preserve"> и оценки налоговых расходов </w:t>
      </w:r>
      <w:r w:rsidRPr="0085685A">
        <w:rPr>
          <w:rFonts w:ascii="Times New Roman" w:hAnsi="Times New Roman"/>
          <w:kern w:val="2"/>
        </w:rPr>
        <w:t xml:space="preserve">сельского поселения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  <w:kern w:val="2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kern w:val="2"/>
        </w:rPr>
        <w:t>Баймакский</w:t>
      </w:r>
      <w:proofErr w:type="spellEnd"/>
      <w:r w:rsidRPr="0085685A">
        <w:rPr>
          <w:rFonts w:ascii="Times New Roman" w:hAnsi="Times New Roman"/>
          <w:kern w:val="2"/>
        </w:rPr>
        <w:t xml:space="preserve"> район Республики Башкортостан</w:t>
      </w:r>
      <w:r w:rsidRPr="0085685A">
        <w:rPr>
          <w:rFonts w:ascii="Times New Roman" w:hAnsi="Times New Roman"/>
          <w:color w:val="000000"/>
        </w:rPr>
        <w:t>.</w:t>
      </w:r>
    </w:p>
    <w:p w:rsidR="00870EA4" w:rsidRPr="00A63BF8" w:rsidRDefault="00870EA4" w:rsidP="00A63BF8">
      <w:pPr>
        <w:spacing w:after="255" w:line="240" w:lineRule="auto"/>
        <w:jc w:val="both"/>
        <w:rPr>
          <w:rFonts w:ascii="Times New Roman" w:hAnsi="Times New Roman"/>
          <w:color w:val="000000"/>
        </w:rPr>
      </w:pPr>
      <w:r w:rsidRPr="0085685A">
        <w:rPr>
          <w:rFonts w:ascii="Times New Roman" w:hAnsi="Times New Roman"/>
          <w:color w:val="000000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85685A">
        <w:rPr>
          <w:rFonts w:ascii="Times New Roman" w:hAnsi="Times New Roman"/>
          <w:kern w:val="2"/>
        </w:rPr>
        <w:t xml:space="preserve">сельским поселением </w:t>
      </w:r>
      <w:proofErr w:type="spellStart"/>
      <w:r w:rsidRPr="00BF6179"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Pr="0085685A">
        <w:rPr>
          <w:rFonts w:ascii="Times New Roman" w:hAnsi="Times New Roman"/>
          <w:kern w:val="2"/>
        </w:rPr>
        <w:t xml:space="preserve"> сельсовет муниципального района </w:t>
      </w:r>
      <w:proofErr w:type="spellStart"/>
      <w:r w:rsidRPr="0085685A">
        <w:rPr>
          <w:rFonts w:ascii="Times New Roman" w:hAnsi="Times New Roman"/>
          <w:kern w:val="2"/>
        </w:rPr>
        <w:t>Баймакский</w:t>
      </w:r>
      <w:proofErr w:type="spellEnd"/>
      <w:r w:rsidRPr="0085685A">
        <w:rPr>
          <w:rFonts w:ascii="Times New Roman" w:hAnsi="Times New Roman"/>
          <w:kern w:val="2"/>
        </w:rPr>
        <w:t xml:space="preserve"> район Республики Башкортостан</w:t>
      </w:r>
      <w:r w:rsidRPr="0085685A">
        <w:rPr>
          <w:rFonts w:ascii="Times New Roman" w:hAnsi="Times New Roman"/>
          <w:color w:val="000000"/>
        </w:rPr>
        <w:t>.</w:t>
      </w:r>
    </w:p>
    <w:sectPr w:rsidR="00870EA4" w:rsidRPr="00A63BF8" w:rsidSect="009B4DC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DCA"/>
    <w:rsid w:val="00063B80"/>
    <w:rsid w:val="00135323"/>
    <w:rsid w:val="001428BB"/>
    <w:rsid w:val="00204B29"/>
    <w:rsid w:val="00233D09"/>
    <w:rsid w:val="002532FB"/>
    <w:rsid w:val="00283F16"/>
    <w:rsid w:val="002E2A52"/>
    <w:rsid w:val="002E2F7F"/>
    <w:rsid w:val="003564DA"/>
    <w:rsid w:val="00395A02"/>
    <w:rsid w:val="00397A0C"/>
    <w:rsid w:val="003C770E"/>
    <w:rsid w:val="00417AD8"/>
    <w:rsid w:val="0043739E"/>
    <w:rsid w:val="004C5559"/>
    <w:rsid w:val="004E6C77"/>
    <w:rsid w:val="00501A31"/>
    <w:rsid w:val="00772162"/>
    <w:rsid w:val="00796580"/>
    <w:rsid w:val="007B0EA2"/>
    <w:rsid w:val="007D6204"/>
    <w:rsid w:val="0082584D"/>
    <w:rsid w:val="0085685A"/>
    <w:rsid w:val="00870EA4"/>
    <w:rsid w:val="00907590"/>
    <w:rsid w:val="0092687B"/>
    <w:rsid w:val="009B4DCA"/>
    <w:rsid w:val="00A63BF8"/>
    <w:rsid w:val="00A779F7"/>
    <w:rsid w:val="00B754AD"/>
    <w:rsid w:val="00BF6179"/>
    <w:rsid w:val="00CA330A"/>
    <w:rsid w:val="00CC1773"/>
    <w:rsid w:val="00DC730C"/>
    <w:rsid w:val="00E00686"/>
    <w:rsid w:val="00E44765"/>
    <w:rsid w:val="00E67B83"/>
    <w:rsid w:val="00F40471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E72613B"/>
  <w15:docId w15:val="{360AC730-F29D-4408-9CF2-93AC21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71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B4DCA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9B4DC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p10">
    <w:name w:val="p10"/>
    <w:basedOn w:val="a"/>
    <w:uiPriority w:val="99"/>
    <w:rsid w:val="009B4DC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3">
    <w:name w:val="Normal (Web)"/>
    <w:basedOn w:val="a"/>
    <w:link w:val="a4"/>
    <w:uiPriority w:val="99"/>
    <w:rsid w:val="0085685A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85685A"/>
    <w:rPr>
      <w:sz w:val="24"/>
    </w:rPr>
  </w:style>
  <w:style w:type="paragraph" w:styleId="a5">
    <w:name w:val="Body Text"/>
    <w:basedOn w:val="a"/>
    <w:link w:val="a6"/>
    <w:uiPriority w:val="99"/>
    <w:rsid w:val="00395A02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</w:rPr>
  </w:style>
  <w:style w:type="character" w:customStyle="1" w:styleId="a7">
    <w:name w:val="Подпись к таблице"/>
    <w:uiPriority w:val="99"/>
    <w:rsid w:val="00395A02"/>
    <w:rPr>
      <w:rFonts w:ascii="Times New Roman" w:hAnsi="Times New Roman" w:cs="Times New Roman"/>
      <w:spacing w:val="0"/>
      <w:sz w:val="23"/>
      <w:szCs w:val="23"/>
      <w:u w:val="single"/>
    </w:rPr>
  </w:style>
  <w:style w:type="paragraph" w:styleId="a8">
    <w:name w:val="Balloon Text"/>
    <w:basedOn w:val="a"/>
    <w:link w:val="a9"/>
    <w:uiPriority w:val="99"/>
    <w:semiHidden/>
    <w:rsid w:val="00CC1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24E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629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2020-02-19T07:47:00Z</cp:lastPrinted>
  <dcterms:created xsi:type="dcterms:W3CDTF">2020-02-19T04:13:00Z</dcterms:created>
  <dcterms:modified xsi:type="dcterms:W3CDTF">2020-12-15T09:44:00Z</dcterms:modified>
</cp:coreProperties>
</file>